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08" w:tblpY="240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409"/>
        <w:gridCol w:w="2410"/>
      </w:tblGrid>
      <w:tr w:rsidR="00EB03B1" w:rsidRPr="006557C3" w:rsidTr="00D07CA0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B03B1" w:rsidRPr="006557C3" w:rsidRDefault="00EB03B1" w:rsidP="00D07CA0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واحد سازماني 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03B1" w:rsidRPr="006557C3" w:rsidRDefault="00EB03B1" w:rsidP="00D07CA0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محل خدمت :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B03B1" w:rsidRPr="006557C3" w:rsidRDefault="00EB03B1" w:rsidP="00D07CA0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EB03B1" w:rsidRPr="006557C3" w:rsidTr="00AD181A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EB03B1" w:rsidRPr="006557C3" w:rsidRDefault="00EB03B1" w:rsidP="00D07CA0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</w:t>
            </w:r>
            <w:r w:rsidR="00930D4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(مسئول بلافصل)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EB03B1" w:rsidRPr="006557C3" w:rsidRDefault="00EB03B1" w:rsidP="00D07CA0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EB03B1" w:rsidRPr="006557C3" w:rsidTr="00D07CA0">
        <w:trPr>
          <w:trHeight w:val="347"/>
        </w:trPr>
        <w:tc>
          <w:tcPr>
            <w:tcW w:w="5637" w:type="dxa"/>
            <w:gridSpan w:val="2"/>
            <w:vAlign w:val="center"/>
          </w:tcPr>
          <w:p w:rsidR="00EB03B1" w:rsidRPr="006557C3" w:rsidRDefault="00EB03B1" w:rsidP="00D07CA0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کدپرسنلی ارزیابی شونده  : </w:t>
            </w:r>
          </w:p>
        </w:tc>
        <w:tc>
          <w:tcPr>
            <w:tcW w:w="4819" w:type="dxa"/>
            <w:gridSpan w:val="2"/>
            <w:vAlign w:val="center"/>
          </w:tcPr>
          <w:p w:rsidR="00EB03B1" w:rsidRPr="006557C3" w:rsidRDefault="00EB03B1" w:rsidP="00D07CA0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</w:tr>
    </w:tbl>
    <w:p w:rsidR="00D3059C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567D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( فرم شماره 7)</w:t>
      </w:r>
    </w:p>
    <w:p w:rsidR="002409FD" w:rsidRPr="002409FD" w:rsidRDefault="002409FD" w:rsidP="00F43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دو محور شاخص های شغلی و عمومی انجام می پذیرد که شاخص های عمومی و مشترک شغلی مطابق سطوح کارمندان تدوین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و 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خواهد شد.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261" w:type="dxa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6539"/>
        <w:gridCol w:w="1509"/>
        <w:gridCol w:w="1620"/>
      </w:tblGrid>
      <w:tr w:rsidR="006A1833" w:rsidRPr="006557C3" w:rsidTr="006A1833">
        <w:tc>
          <w:tcPr>
            <w:tcW w:w="59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9B140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9B140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50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9B1403" w:rsidRDefault="006A1833" w:rsidP="009B1403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هدف مورد انتظار</w:t>
            </w:r>
            <w:r w:rsidR="00D3059C" w:rsidRPr="00D305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9B140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 (وزن شاخص)</w:t>
            </w:r>
          </w:p>
        </w:tc>
      </w:tr>
      <w:tr w:rsidR="006A1833" w:rsidRPr="006557C3" w:rsidTr="006A1833"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39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3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3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3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3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3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3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3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5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6A1833">
        <w:tc>
          <w:tcPr>
            <w:tcW w:w="864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6A1833">
            <w:pPr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6A1833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6A1833" w:rsidRDefault="001E008F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1E008F">
        <w:rPr>
          <w:rFonts w:cs="B Nazanin" w:hint="cs"/>
          <w:b/>
          <w:bCs/>
          <w:color w:val="000000" w:themeColor="text1"/>
          <w:sz w:val="24"/>
          <w:szCs w:val="24"/>
          <w:rtl/>
        </w:rPr>
        <w:t>*</w:t>
      </w:r>
      <w:r w:rsidR="00D3059C">
        <w:rPr>
          <w:rFonts w:cs="B Nazanin" w:hint="cs"/>
          <w:b/>
          <w:bCs/>
          <w:color w:val="000000" w:themeColor="text1"/>
          <w:sz w:val="20"/>
          <w:szCs w:val="20"/>
          <w:rtl/>
        </w:rPr>
        <w:t>پیشنهاد می گردد هدف مورد انتظار با امتیاز (وزن شاخص) یکسان در نظر گرفته شود.</w:t>
      </w:r>
    </w:p>
    <w:p w:rsidR="00D3059C" w:rsidRPr="00D3059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6"/>
          <w:szCs w:val="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B354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bookmarkStart w:id="0" w:name="_GoBack"/>
      <w:bookmarkEnd w:id="0"/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 xml:space="preserve">باید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اختصاصی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>خاطر</w:t>
      </w:r>
      <w:r w:rsidR="00D45D57">
        <w:rPr>
          <w:rFonts w:cs="B Nazanin" w:hint="cs"/>
          <w:color w:val="000000" w:themeColor="text1"/>
          <w:sz w:val="20"/>
          <w:szCs w:val="20"/>
          <w:rtl/>
        </w:rPr>
        <w:t xml:space="preserve"> نشان می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>سازد، شاخص های تعریف شده در سامانه می بایست با شاخص های فرم تفاهم نامه یکسان باشد.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305780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اقدام به تكميل فرم اعتراض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13CD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10"/>
          <w:szCs w:val="10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1"/>
        <w:gridCol w:w="5049"/>
      </w:tblGrid>
      <w:tr w:rsidR="003C5191" w:rsidRPr="006557C3" w:rsidTr="00813CD6">
        <w:trPr>
          <w:trHeight w:val="1021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 xml:space="preserve"> :   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C8021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174A50">
      <w:headerReference w:type="default" r:id="rId8"/>
      <w:pgSz w:w="12240" w:h="15840" w:code="1"/>
      <w:pgMar w:top="-1352" w:right="900" w:bottom="426" w:left="851" w:header="720" w:footer="720" w:gutter="0"/>
      <w:pgBorders w:offsetFrom="page">
        <w:top w:val="twistedLines1" w:sz="10" w:space="20" w:color="auto"/>
        <w:left w:val="twistedLines1" w:sz="10" w:space="20" w:color="auto"/>
        <w:bottom w:val="twistedLines1" w:sz="10" w:space="20" w:color="auto"/>
        <w:right w:val="twistedLines1" w:sz="10" w:space="2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BA" w:rsidRDefault="00190ABA" w:rsidP="00A16C40">
      <w:pPr>
        <w:spacing w:after="0" w:line="240" w:lineRule="auto"/>
      </w:pPr>
      <w:r>
        <w:separator/>
      </w:r>
    </w:p>
  </w:endnote>
  <w:endnote w:type="continuationSeparator" w:id="0">
    <w:p w:rsidR="00190ABA" w:rsidRDefault="00190ABA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BA" w:rsidRDefault="00190ABA" w:rsidP="00A16C40">
      <w:pPr>
        <w:spacing w:after="0" w:line="240" w:lineRule="auto"/>
      </w:pPr>
      <w:r>
        <w:separator/>
      </w:r>
    </w:p>
  </w:footnote>
  <w:footnote w:type="continuationSeparator" w:id="0">
    <w:p w:rsidR="00190ABA" w:rsidRDefault="00190ABA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A" w:rsidRPr="00AD181A" w:rsidRDefault="008B452D" w:rsidP="00AD181A">
    <w:pPr>
      <w:tabs>
        <w:tab w:val="left" w:pos="1984"/>
        <w:tab w:val="center" w:pos="5244"/>
      </w:tabs>
      <w:spacing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66944" behindDoc="1" locked="0" layoutInCell="1" allowOverlap="1" wp14:anchorId="19DD5027" wp14:editId="5A58AA8E">
          <wp:simplePos x="0" y="0"/>
          <wp:positionH relativeFrom="column">
            <wp:posOffset>6267402</wp:posOffset>
          </wp:positionH>
          <wp:positionV relativeFrom="paragraph">
            <wp:posOffset>-44927</wp:posOffset>
          </wp:positionV>
          <wp:extent cx="428845" cy="49684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65" cy="517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AD181A">
    <w:pPr>
      <w:tabs>
        <w:tab w:val="left" w:pos="1984"/>
        <w:tab w:val="center" w:pos="5244"/>
      </w:tabs>
      <w:spacing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9 )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1"/>
    <w:rsid w:val="00011748"/>
    <w:rsid w:val="00033C81"/>
    <w:rsid w:val="000463E4"/>
    <w:rsid w:val="00076D90"/>
    <w:rsid w:val="00084FCD"/>
    <w:rsid w:val="000A6111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5E2E"/>
    <w:rsid w:val="001C183A"/>
    <w:rsid w:val="001C4EE3"/>
    <w:rsid w:val="001E008F"/>
    <w:rsid w:val="001E649D"/>
    <w:rsid w:val="0020516D"/>
    <w:rsid w:val="00213315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B6AE5"/>
    <w:rsid w:val="003C22E4"/>
    <w:rsid w:val="003C5191"/>
    <w:rsid w:val="003D7FB9"/>
    <w:rsid w:val="003F4B6E"/>
    <w:rsid w:val="00407E30"/>
    <w:rsid w:val="00410E03"/>
    <w:rsid w:val="004256BB"/>
    <w:rsid w:val="00436236"/>
    <w:rsid w:val="00461847"/>
    <w:rsid w:val="004637A3"/>
    <w:rsid w:val="00471527"/>
    <w:rsid w:val="004751F1"/>
    <w:rsid w:val="00477697"/>
    <w:rsid w:val="00490892"/>
    <w:rsid w:val="004A3E9F"/>
    <w:rsid w:val="004B2CC4"/>
    <w:rsid w:val="0050185E"/>
    <w:rsid w:val="0050784C"/>
    <w:rsid w:val="00511E7A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F355D"/>
    <w:rsid w:val="006028BE"/>
    <w:rsid w:val="006310AC"/>
    <w:rsid w:val="00640D7F"/>
    <w:rsid w:val="006557C3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955AD"/>
    <w:rsid w:val="007C6553"/>
    <w:rsid w:val="00800A30"/>
    <w:rsid w:val="008051EC"/>
    <w:rsid w:val="00805D08"/>
    <w:rsid w:val="00813CD6"/>
    <w:rsid w:val="0082217B"/>
    <w:rsid w:val="0089390E"/>
    <w:rsid w:val="00894ACC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F504F"/>
    <w:rsid w:val="00D07CA0"/>
    <w:rsid w:val="00D3059C"/>
    <w:rsid w:val="00D404BB"/>
    <w:rsid w:val="00D45D57"/>
    <w:rsid w:val="00D46430"/>
    <w:rsid w:val="00D82F7A"/>
    <w:rsid w:val="00D954AE"/>
    <w:rsid w:val="00DB3D0D"/>
    <w:rsid w:val="00DF5AE3"/>
    <w:rsid w:val="00E11133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70D08"/>
    <w:rsid w:val="00F822E8"/>
    <w:rsid w:val="00FA1F1E"/>
    <w:rsid w:val="00FB3556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1D234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4187-49C4-4858-87B4-CB9FBAC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karizi</cp:lastModifiedBy>
  <cp:revision>131</cp:revision>
  <cp:lastPrinted>2018-09-22T11:17:00Z</cp:lastPrinted>
  <dcterms:created xsi:type="dcterms:W3CDTF">2017-06-10T07:14:00Z</dcterms:created>
  <dcterms:modified xsi:type="dcterms:W3CDTF">2018-09-22T12:26:00Z</dcterms:modified>
</cp:coreProperties>
</file>